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61B0F" w14:textId="0B4DC135" w:rsidR="00285DDE" w:rsidRPr="007B2910" w:rsidRDefault="00285DDE" w:rsidP="00285DDE">
      <w:pPr>
        <w:pStyle w:val="Header"/>
        <w:keepLines/>
        <w:tabs>
          <w:tab w:val="left" w:pos="5956"/>
          <w:tab w:val="right" w:pos="10440"/>
          <w:tab w:val="right" w:pos="13323"/>
        </w:tabs>
        <w:rPr>
          <w:rFonts w:cs="Arial"/>
          <w:sz w:val="24"/>
          <w:szCs w:val="24"/>
        </w:rPr>
      </w:pPr>
      <w:bookmarkStart w:id="0" w:name="_Hlk514061252"/>
      <w:r w:rsidRPr="003F6DD6">
        <w:rPr>
          <w:rFonts w:eastAsia="SimSun" w:cs="Arial"/>
          <w:sz w:val="24"/>
          <w:szCs w:val="24"/>
          <w:lang w:eastAsia="zh-CN"/>
        </w:rPr>
        <w:t>3GPP TSG-RAN WG4 Meeting #11</w:t>
      </w:r>
      <w:r w:rsidR="00D91368">
        <w:rPr>
          <w:rFonts w:cs="Arial"/>
          <w:sz w:val="24"/>
          <w:szCs w:val="24"/>
        </w:rPr>
        <w:t>4</w:t>
      </w:r>
      <w:r w:rsidR="0081537F">
        <w:rPr>
          <w:rFonts w:cs="Arial"/>
          <w:sz w:val="24"/>
          <w:szCs w:val="24"/>
        </w:rPr>
        <w:t>bis</w:t>
      </w:r>
      <w:r w:rsidRPr="003F6DD6">
        <w:rPr>
          <w:rFonts w:eastAsia="SimSun" w:cs="Arial"/>
          <w:sz w:val="24"/>
          <w:szCs w:val="24"/>
          <w:lang w:eastAsia="zh-CN"/>
        </w:rPr>
        <w:tab/>
      </w:r>
      <w:r w:rsidRPr="003F6DD6">
        <w:rPr>
          <w:rFonts w:eastAsia="SimSun" w:cs="Arial"/>
          <w:sz w:val="24"/>
          <w:szCs w:val="24"/>
          <w:lang w:eastAsia="zh-CN"/>
        </w:rPr>
        <w:tab/>
      </w:r>
      <w:r w:rsidR="004B7507" w:rsidRPr="004B7507">
        <w:rPr>
          <w:rFonts w:eastAsia="SimSun" w:cs="Arial"/>
          <w:sz w:val="24"/>
          <w:szCs w:val="24"/>
          <w:lang w:eastAsia="zh-CN"/>
        </w:rPr>
        <w:t>R4-250</w:t>
      </w:r>
      <w:r w:rsidR="0081537F">
        <w:rPr>
          <w:rFonts w:eastAsia="SimSun" w:cs="Arial"/>
          <w:sz w:val="24"/>
          <w:szCs w:val="24"/>
          <w:lang w:eastAsia="zh-CN"/>
        </w:rPr>
        <w:t>3250</w:t>
      </w:r>
    </w:p>
    <w:p w14:paraId="3CD90A88" w14:textId="41526D92" w:rsidR="00285DDE" w:rsidRDefault="0081537F" w:rsidP="00285DDE">
      <w:pPr>
        <w:pStyle w:val="Header"/>
        <w:keepLines/>
        <w:tabs>
          <w:tab w:val="left" w:pos="5956"/>
          <w:tab w:val="right" w:pos="10440"/>
          <w:tab w:val="right" w:pos="13323"/>
        </w:tabs>
        <w:rPr>
          <w:rFonts w:eastAsia="SimSun" w:cs="Arial"/>
          <w:sz w:val="24"/>
          <w:szCs w:val="24"/>
          <w:lang w:eastAsia="zh-CN"/>
        </w:rPr>
      </w:pPr>
      <w:r>
        <w:rPr>
          <w:rFonts w:eastAsia="SimSun" w:cs="Arial"/>
          <w:sz w:val="24"/>
          <w:szCs w:val="24"/>
          <w:lang w:eastAsia="zh-CN"/>
        </w:rPr>
        <w:t>Wuhan</w:t>
      </w:r>
      <w:r w:rsidR="00285DDE">
        <w:rPr>
          <w:rFonts w:eastAsia="SimSun" w:cs="Arial"/>
          <w:sz w:val="24"/>
          <w:szCs w:val="24"/>
          <w:lang w:eastAsia="zh-CN"/>
        </w:rPr>
        <w:t>,</w:t>
      </w:r>
      <w:r>
        <w:rPr>
          <w:rFonts w:eastAsia="SimSun" w:cs="Arial"/>
          <w:sz w:val="24"/>
          <w:szCs w:val="24"/>
          <w:lang w:eastAsia="zh-CN"/>
        </w:rPr>
        <w:t xml:space="preserve"> China</w:t>
      </w:r>
      <w:r w:rsidR="00285DDE">
        <w:rPr>
          <w:rFonts w:eastAsia="SimSun" w:cs="Arial"/>
          <w:sz w:val="24"/>
          <w:szCs w:val="24"/>
          <w:lang w:eastAsia="zh-CN"/>
        </w:rPr>
        <w:t xml:space="preserve"> </w:t>
      </w:r>
      <w:r w:rsidR="00D91368">
        <w:rPr>
          <w:rFonts w:eastAsia="SimSun" w:cs="Arial"/>
          <w:sz w:val="24"/>
          <w:szCs w:val="24"/>
          <w:lang w:eastAsia="zh-CN"/>
        </w:rPr>
        <w:t>7</w:t>
      </w:r>
      <w:r w:rsidR="00285DDE" w:rsidRPr="0052514D">
        <w:rPr>
          <w:rFonts w:eastAsia="SimSun" w:cs="Arial"/>
          <w:sz w:val="24"/>
          <w:szCs w:val="24"/>
          <w:vertAlign w:val="superscript"/>
          <w:lang w:eastAsia="zh-CN"/>
        </w:rPr>
        <w:t>th</w:t>
      </w:r>
      <w:r w:rsidR="00285DDE" w:rsidRPr="0052514D">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00285DDE">
        <w:rPr>
          <w:rFonts w:eastAsia="SimSun" w:cs="Arial"/>
          <w:sz w:val="24"/>
          <w:szCs w:val="24"/>
          <w:lang w:eastAsia="zh-CN"/>
        </w:rPr>
        <w:t xml:space="preserve"> </w:t>
      </w:r>
      <w:r>
        <w:rPr>
          <w:rFonts w:eastAsia="SimSun" w:cs="Arial"/>
          <w:sz w:val="24"/>
          <w:szCs w:val="24"/>
          <w:lang w:eastAsia="zh-CN"/>
        </w:rPr>
        <w:t>April</w:t>
      </w:r>
      <w:r w:rsidR="00285DDE" w:rsidRPr="0052514D">
        <w:rPr>
          <w:rFonts w:eastAsia="SimSun" w:cs="Arial"/>
          <w:sz w:val="24"/>
          <w:szCs w:val="24"/>
          <w:lang w:eastAsia="zh-CN"/>
        </w:rPr>
        <w:t>, 202</w:t>
      </w:r>
      <w:r w:rsidR="00D91368">
        <w:rPr>
          <w:rFonts w:eastAsia="SimSun" w:cs="Arial"/>
          <w:sz w:val="24"/>
          <w:szCs w:val="24"/>
          <w:lang w:eastAsia="zh-CN"/>
        </w:rPr>
        <w:t>5</w:t>
      </w:r>
    </w:p>
    <w:p w14:paraId="6D75D573" w14:textId="05858222" w:rsidR="00285DDE" w:rsidRPr="00CF6EC9" w:rsidRDefault="00285DDE" w:rsidP="00285DDE">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4B7507">
        <w:rPr>
          <w:rFonts w:ascii="Arial" w:hAnsi="Arial" w:cs="Arial"/>
          <w:bCs/>
          <w:noProof/>
          <w:sz w:val="24"/>
          <w:szCs w:val="24"/>
          <w:lang w:val="en-US" w:eastAsia="en-US"/>
        </w:rPr>
        <w:t>7.17.2.2</w:t>
      </w:r>
    </w:p>
    <w:p w14:paraId="5C8A9902" w14:textId="77777777" w:rsidR="00285DDE" w:rsidRPr="00CF6EC9" w:rsidRDefault="00285DDE" w:rsidP="00285DDE">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4C1CC1DC" w14:textId="77777777" w:rsidR="00285DDE" w:rsidRPr="00CF6EC9" w:rsidRDefault="00285DDE" w:rsidP="00285DDE">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8D61EC">
        <w:rPr>
          <w:rFonts w:ascii="Arial" w:hAnsi="Arial" w:cs="Arial"/>
          <w:bCs/>
          <w:noProof/>
          <w:sz w:val="24"/>
          <w:szCs w:val="24"/>
          <w:lang w:val="en-US" w:eastAsia="en-US"/>
        </w:rPr>
        <w:t>Enhancement on FR2 CSSF</w:t>
      </w:r>
    </w:p>
    <w:p w14:paraId="0645F07D" w14:textId="77777777" w:rsidR="00285DDE" w:rsidRPr="00CF6EC9" w:rsidRDefault="00285DDE" w:rsidP="00285DDE">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Pr>
          <w:rFonts w:ascii="Arial" w:hAnsi="Arial" w:cs="Arial" w:hint="eastAsia"/>
          <w:bCs/>
          <w:noProof/>
          <w:sz w:val="24"/>
          <w:szCs w:val="24"/>
          <w:lang w:val="en-US"/>
        </w:rPr>
        <w:t>Discussion</w:t>
      </w:r>
    </w:p>
    <w:bookmarkEnd w:id="0"/>
    <w:p w14:paraId="44279D8A" w14:textId="77777777" w:rsidR="00285DDE" w:rsidRDefault="00285DDE" w:rsidP="00285DDE">
      <w:pPr>
        <w:pStyle w:val="Heading1"/>
      </w:pPr>
      <w:r>
        <w:t>1.</w:t>
      </w:r>
      <w:r>
        <w:tab/>
        <w:t>Introduction</w:t>
      </w:r>
    </w:p>
    <w:p w14:paraId="52A77212" w14:textId="0BEA0C95" w:rsidR="00285DDE" w:rsidRPr="000D577B" w:rsidRDefault="00285DDE" w:rsidP="00D91368">
      <w:pPr>
        <w:rPr>
          <w:bCs/>
        </w:rPr>
      </w:pPr>
      <w:r>
        <w:rPr>
          <w:lang w:eastAsia="en-GB"/>
        </w:rPr>
        <w:t xml:space="preserve">In this paper, </w:t>
      </w:r>
      <w:r>
        <w:rPr>
          <w:lang w:val="en-US"/>
        </w:rPr>
        <w:t xml:space="preserve">we present our view on the </w:t>
      </w:r>
      <w:r w:rsidR="00D91368">
        <w:rPr>
          <w:lang w:val="en-US"/>
        </w:rPr>
        <w:t>enhancement of FR2 CSSF.</w:t>
      </w:r>
    </w:p>
    <w:p w14:paraId="7CD00A61" w14:textId="77777777" w:rsidR="00285DDE" w:rsidRDefault="00285DDE" w:rsidP="00285DDE">
      <w:pPr>
        <w:pStyle w:val="Heading1"/>
      </w:pPr>
      <w:r>
        <w:t>2.  Past Agreements</w:t>
      </w:r>
    </w:p>
    <w:p w14:paraId="542B3661" w14:textId="77777777" w:rsidR="00285DDE" w:rsidRDefault="00285DDE" w:rsidP="00285DDE"/>
    <w:p w14:paraId="18D20CEB" w14:textId="14B6AEA3" w:rsidR="00285DDE" w:rsidRPr="00DA6271" w:rsidRDefault="00285DDE" w:rsidP="00285DDE">
      <w:r>
        <w:t>Following agreements happened during the last</w:t>
      </w:r>
      <w:r w:rsidR="00F624A4">
        <w:t xml:space="preserve"> couple of</w:t>
      </w:r>
      <w:r>
        <w:t xml:space="preserve"> meeting</w:t>
      </w:r>
      <w:r w:rsidR="00F624A4">
        <w:t>s</w:t>
      </w:r>
      <w:r>
        <w:t xml:space="preserve"> [1].</w:t>
      </w:r>
    </w:p>
    <w:tbl>
      <w:tblPr>
        <w:tblStyle w:val="TableGrid"/>
        <w:tblW w:w="0" w:type="auto"/>
        <w:tblLook w:val="04A0" w:firstRow="1" w:lastRow="0" w:firstColumn="1" w:lastColumn="0" w:noHBand="0" w:noVBand="1"/>
      </w:tblPr>
      <w:tblGrid>
        <w:gridCol w:w="9621"/>
      </w:tblGrid>
      <w:tr w:rsidR="00285DDE" w14:paraId="1E543CC6" w14:textId="77777777" w:rsidTr="00706DE6">
        <w:tc>
          <w:tcPr>
            <w:tcW w:w="9621" w:type="dxa"/>
          </w:tcPr>
          <w:p w14:paraId="4D465981" w14:textId="77777777" w:rsidR="00285DDE" w:rsidRDefault="00285DDE" w:rsidP="00706DE6">
            <w:pPr>
              <w:rPr>
                <w:b/>
                <w:color w:val="0070C0"/>
                <w:u w:val="single"/>
              </w:rPr>
            </w:pPr>
          </w:p>
          <w:p w14:paraId="365AC96E" w14:textId="77777777" w:rsidR="00476048" w:rsidRDefault="00476048" w:rsidP="00476048">
            <w:pPr>
              <w:rPr>
                <w:b/>
                <w:color w:val="0070C0"/>
                <w:u w:val="single"/>
              </w:rPr>
            </w:pPr>
            <w:r>
              <w:rPr>
                <w:b/>
                <w:color w:val="0070C0"/>
                <w:u w:val="single"/>
              </w:rPr>
              <w:t>Issue 1-3-1: Tentative solution 1: measure one serving CC per band</w:t>
            </w:r>
          </w:p>
          <w:p w14:paraId="53EE479E" w14:textId="77777777" w:rsidR="00476048" w:rsidRDefault="00476048" w:rsidP="00476048">
            <w:pPr>
              <w:rPr>
                <w:b/>
                <w:color w:val="0070C0"/>
                <w:u w:val="single"/>
              </w:rPr>
            </w:pPr>
          </w:p>
          <w:p w14:paraId="773E5D40" w14:textId="77777777" w:rsidR="00476048" w:rsidRPr="00024EA3" w:rsidRDefault="00476048" w:rsidP="00476048">
            <w:pPr>
              <w:overflowPunct w:val="0"/>
              <w:autoSpaceDE w:val="0"/>
              <w:autoSpaceDN w:val="0"/>
              <w:adjustRightInd w:val="0"/>
              <w:snapToGrid w:val="0"/>
              <w:spacing w:after="120"/>
              <w:rPr>
                <w:rFonts w:eastAsia="DengXian"/>
                <w:iCs/>
                <w:szCs w:val="21"/>
                <w:highlight w:val="green"/>
              </w:rPr>
            </w:pPr>
            <w:r w:rsidRPr="00024EA3">
              <w:rPr>
                <w:rFonts w:eastAsia="DengXian" w:hint="eastAsia"/>
                <w:iCs/>
                <w:szCs w:val="21"/>
                <w:highlight w:val="green"/>
              </w:rPr>
              <w:t>A</w:t>
            </w:r>
            <w:r w:rsidRPr="00024EA3">
              <w:rPr>
                <w:rFonts w:eastAsia="DengXian"/>
                <w:iCs/>
                <w:szCs w:val="21"/>
                <w:highlight w:val="green"/>
              </w:rPr>
              <w:t>greement:</w:t>
            </w:r>
          </w:p>
          <w:p w14:paraId="2E8C4CD3" w14:textId="77777777" w:rsidR="00476048" w:rsidRPr="00CE7E1C" w:rsidRDefault="00476048" w:rsidP="00476048">
            <w:pPr>
              <w:numPr>
                <w:ilvl w:val="0"/>
                <w:numId w:val="2"/>
              </w:numPr>
              <w:autoSpaceDN w:val="0"/>
              <w:snapToGrid w:val="0"/>
              <w:spacing w:after="120"/>
              <w:ind w:left="360"/>
              <w:rPr>
                <w:rFonts w:eastAsia="SimSun"/>
                <w:iCs/>
                <w:szCs w:val="21"/>
              </w:rPr>
            </w:pPr>
            <w:r w:rsidRPr="00CE7E1C">
              <w:rPr>
                <w:rFonts w:eastAsia="SimSun"/>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576BF5C5" w14:textId="77777777" w:rsidR="00476048" w:rsidRPr="00CE7E1C" w:rsidRDefault="00476048" w:rsidP="00476048">
            <w:pPr>
              <w:numPr>
                <w:ilvl w:val="1"/>
                <w:numId w:val="2"/>
              </w:numPr>
              <w:overflowPunct w:val="0"/>
              <w:autoSpaceDE w:val="0"/>
              <w:autoSpaceDN w:val="0"/>
              <w:adjustRightInd w:val="0"/>
              <w:snapToGrid w:val="0"/>
              <w:spacing w:after="120"/>
              <w:ind w:left="1080"/>
              <w:rPr>
                <w:rFonts w:eastAsia="SimSun"/>
                <w:iCs/>
                <w:szCs w:val="21"/>
              </w:rPr>
            </w:pPr>
            <w:r w:rsidRPr="00CE7E1C">
              <w:rPr>
                <w:rFonts w:eastAsia="SimSun"/>
                <w:iCs/>
                <w:szCs w:val="21"/>
              </w:rPr>
              <w:t>Network indication of enable/disable this CSSF enhancement is per-UE.</w:t>
            </w:r>
          </w:p>
          <w:p w14:paraId="63C06C78" w14:textId="77777777" w:rsidR="00476048" w:rsidRPr="00CE7E1C" w:rsidRDefault="00476048" w:rsidP="00476048">
            <w:pPr>
              <w:numPr>
                <w:ilvl w:val="1"/>
                <w:numId w:val="2"/>
              </w:numPr>
              <w:overflowPunct w:val="0"/>
              <w:autoSpaceDE w:val="0"/>
              <w:autoSpaceDN w:val="0"/>
              <w:adjustRightInd w:val="0"/>
              <w:snapToGrid w:val="0"/>
              <w:spacing w:after="120"/>
              <w:ind w:left="1080"/>
              <w:rPr>
                <w:rFonts w:eastAsia="SimSun"/>
                <w:iCs/>
                <w:szCs w:val="21"/>
              </w:rPr>
            </w:pPr>
            <w:r w:rsidRPr="00CE7E1C">
              <w:rPr>
                <w:rFonts w:eastAsia="SimSun"/>
                <w:iCs/>
                <w:szCs w:val="21"/>
              </w:rPr>
              <w:t xml:space="preserve">Follow the following principle for serving and </w:t>
            </w:r>
            <w:proofErr w:type="spellStart"/>
            <w:r w:rsidRPr="00CE7E1C">
              <w:rPr>
                <w:rFonts w:eastAsia="SimSun"/>
                <w:iCs/>
                <w:szCs w:val="21"/>
              </w:rPr>
              <w:t>neighboring</w:t>
            </w:r>
            <w:proofErr w:type="spellEnd"/>
            <w:r w:rsidRPr="00CE7E1C">
              <w:rPr>
                <w:rFonts w:eastAsia="SimSun"/>
                <w:iCs/>
                <w:szCs w:val="21"/>
              </w:rPr>
              <w:t xml:space="preserve"> cell measurement</w:t>
            </w:r>
          </w:p>
          <w:p w14:paraId="680E12A1" w14:textId="77777777" w:rsidR="00476048" w:rsidRPr="00CE7E1C" w:rsidRDefault="00476048" w:rsidP="00476048">
            <w:pPr>
              <w:numPr>
                <w:ilvl w:val="2"/>
                <w:numId w:val="2"/>
              </w:numPr>
              <w:suppressAutoHyphens/>
              <w:snapToGrid w:val="0"/>
              <w:spacing w:after="120"/>
              <w:ind w:left="1800"/>
              <w:rPr>
                <w:rFonts w:eastAsia="SimSun"/>
                <w:iCs/>
                <w:szCs w:val="21"/>
                <w:lang w:eastAsia="en-US"/>
              </w:rPr>
            </w:pPr>
            <w:r w:rsidRPr="00CE7E1C">
              <w:rPr>
                <w:rFonts w:eastAsia="SimSun"/>
                <w:iCs/>
                <w:szCs w:val="21"/>
                <w:lang w:eastAsia="en-US"/>
              </w:rPr>
              <w:t>Measure PCC if PCC in band</w:t>
            </w:r>
          </w:p>
          <w:p w14:paraId="7EED9EEC" w14:textId="77777777" w:rsidR="00476048" w:rsidRPr="00CE7E1C" w:rsidRDefault="00476048" w:rsidP="00476048">
            <w:pPr>
              <w:numPr>
                <w:ilvl w:val="2"/>
                <w:numId w:val="2"/>
              </w:numPr>
              <w:suppressAutoHyphens/>
              <w:snapToGrid w:val="0"/>
              <w:spacing w:after="120"/>
              <w:ind w:left="1800"/>
              <w:rPr>
                <w:rFonts w:eastAsia="SimSun"/>
                <w:iCs/>
                <w:szCs w:val="21"/>
                <w:lang w:eastAsia="en-US"/>
              </w:rPr>
            </w:pPr>
            <w:r w:rsidRPr="00CE7E1C">
              <w:rPr>
                <w:rFonts w:eastAsia="SimSun"/>
                <w:iCs/>
                <w:szCs w:val="21"/>
                <w:lang w:eastAsia="en-US"/>
              </w:rPr>
              <w:t>Measure PSCC if PSCC in band</w:t>
            </w:r>
          </w:p>
          <w:p w14:paraId="7CF6CE46" w14:textId="77777777" w:rsidR="00476048" w:rsidRPr="00CE7E1C" w:rsidRDefault="00476048" w:rsidP="00476048">
            <w:pPr>
              <w:numPr>
                <w:ilvl w:val="2"/>
                <w:numId w:val="2"/>
              </w:numPr>
              <w:suppressAutoHyphens/>
              <w:snapToGrid w:val="0"/>
              <w:spacing w:after="120"/>
              <w:ind w:left="1800"/>
              <w:rPr>
                <w:rFonts w:eastAsia="SimSun"/>
                <w:iCs/>
                <w:szCs w:val="21"/>
                <w:lang w:eastAsia="en-US"/>
              </w:rPr>
            </w:pPr>
            <w:r w:rsidRPr="00CE7E1C">
              <w:rPr>
                <w:rFonts w:eastAsia="SimSun"/>
                <w:iCs/>
                <w:szCs w:val="21"/>
                <w:lang w:eastAsia="en-US"/>
              </w:rPr>
              <w:t>Measure SCC on which UE is configured to report SSB based measurements, if</w:t>
            </w:r>
          </w:p>
          <w:p w14:paraId="23544E17" w14:textId="77777777" w:rsidR="00476048" w:rsidRPr="00CE7E1C" w:rsidRDefault="00476048" w:rsidP="00476048">
            <w:pPr>
              <w:numPr>
                <w:ilvl w:val="3"/>
                <w:numId w:val="2"/>
              </w:numPr>
              <w:suppressAutoHyphens/>
              <w:snapToGrid w:val="0"/>
              <w:spacing w:after="120"/>
              <w:ind w:left="2520"/>
              <w:rPr>
                <w:rFonts w:eastAsia="SimSun"/>
                <w:iCs/>
                <w:szCs w:val="21"/>
                <w:lang w:eastAsia="en-US"/>
              </w:rPr>
            </w:pPr>
            <w:r w:rsidRPr="00CE7E1C">
              <w:rPr>
                <w:rFonts w:eastAsia="SimSun"/>
                <w:iCs/>
                <w:szCs w:val="21"/>
                <w:lang w:eastAsia="en-US"/>
              </w:rPr>
              <w:t>there is only one SCC on which UE is configured to report SSB based measurements on same FR2 band and no PCC/PSCC in band</w:t>
            </w:r>
          </w:p>
          <w:p w14:paraId="7444892A" w14:textId="77777777" w:rsidR="00476048" w:rsidRPr="00CE7E1C" w:rsidRDefault="00476048" w:rsidP="00476048">
            <w:pPr>
              <w:numPr>
                <w:ilvl w:val="1"/>
                <w:numId w:val="2"/>
              </w:numPr>
              <w:overflowPunct w:val="0"/>
              <w:autoSpaceDE w:val="0"/>
              <w:autoSpaceDN w:val="0"/>
              <w:adjustRightInd w:val="0"/>
              <w:snapToGrid w:val="0"/>
              <w:spacing w:after="120"/>
              <w:ind w:left="1080"/>
              <w:rPr>
                <w:rFonts w:eastAsia="SimSun"/>
                <w:iCs/>
                <w:szCs w:val="21"/>
              </w:rPr>
            </w:pPr>
            <w:r w:rsidRPr="00CE7E1C">
              <w:rPr>
                <w:rFonts w:eastAsia="SimSun"/>
                <w:iCs/>
                <w:szCs w:val="21"/>
              </w:rPr>
              <w:t>Follow the network indication to measure a SCC, if</w:t>
            </w:r>
          </w:p>
          <w:p w14:paraId="044F1509" w14:textId="77777777" w:rsidR="00476048" w:rsidRPr="00CE7E1C" w:rsidRDefault="00476048" w:rsidP="00476048">
            <w:pPr>
              <w:numPr>
                <w:ilvl w:val="2"/>
                <w:numId w:val="2"/>
              </w:numPr>
              <w:suppressAutoHyphens/>
              <w:snapToGrid w:val="0"/>
              <w:spacing w:after="120"/>
              <w:ind w:left="1800"/>
              <w:rPr>
                <w:rFonts w:eastAsia="SimSun"/>
                <w:iCs/>
                <w:szCs w:val="21"/>
                <w:lang w:eastAsia="en-US"/>
              </w:rPr>
            </w:pPr>
            <w:r w:rsidRPr="00CE7E1C">
              <w:rPr>
                <w:rFonts w:eastAsia="SimSun"/>
                <w:iCs/>
                <w:szCs w:val="21"/>
                <w:lang w:eastAsia="en-US"/>
              </w:rPr>
              <w:t>neither PCC nor PSCC is in band, and</w:t>
            </w:r>
          </w:p>
          <w:p w14:paraId="68E6A8A6" w14:textId="77777777" w:rsidR="00476048" w:rsidRPr="00CE7E1C" w:rsidRDefault="00476048" w:rsidP="00476048">
            <w:pPr>
              <w:numPr>
                <w:ilvl w:val="2"/>
                <w:numId w:val="2"/>
              </w:numPr>
              <w:suppressAutoHyphens/>
              <w:snapToGrid w:val="0"/>
              <w:spacing w:after="120"/>
              <w:ind w:left="1800"/>
              <w:rPr>
                <w:rFonts w:eastAsia="SimSun"/>
                <w:iCs/>
                <w:szCs w:val="21"/>
                <w:lang w:eastAsia="en-US"/>
              </w:rPr>
            </w:pPr>
            <w:r w:rsidRPr="00CE7E1C">
              <w:rPr>
                <w:rFonts w:eastAsia="SimSun"/>
                <w:iCs/>
                <w:szCs w:val="21"/>
                <w:lang w:eastAsia="en-US"/>
              </w:rPr>
              <w:t>if there is no SCCs on which UE is configured to report SSB based measurements in band, or</w:t>
            </w:r>
          </w:p>
          <w:p w14:paraId="73E0D2DA" w14:textId="77777777" w:rsidR="00476048" w:rsidRPr="00CE7E1C" w:rsidRDefault="00476048" w:rsidP="00476048">
            <w:pPr>
              <w:numPr>
                <w:ilvl w:val="2"/>
                <w:numId w:val="2"/>
              </w:numPr>
              <w:suppressAutoHyphens/>
              <w:snapToGrid w:val="0"/>
              <w:spacing w:after="120"/>
              <w:ind w:left="1800"/>
              <w:rPr>
                <w:rFonts w:eastAsia="SimSun"/>
                <w:iCs/>
                <w:szCs w:val="21"/>
                <w:lang w:eastAsia="en-US"/>
              </w:rPr>
            </w:pPr>
            <w:r w:rsidRPr="00CE7E1C">
              <w:rPr>
                <w:rFonts w:eastAsia="SimSun"/>
                <w:iCs/>
                <w:szCs w:val="21"/>
                <w:lang w:eastAsia="en-US"/>
              </w:rPr>
              <w:t>if there are multiple SCCs on which UE is configured to report SSB based measurements in band.</w:t>
            </w:r>
          </w:p>
          <w:p w14:paraId="1305DA47" w14:textId="77777777" w:rsidR="00476048" w:rsidRPr="00CE7E1C" w:rsidRDefault="00476048" w:rsidP="00476048">
            <w:pPr>
              <w:numPr>
                <w:ilvl w:val="2"/>
                <w:numId w:val="2"/>
              </w:numPr>
              <w:suppressAutoHyphens/>
              <w:snapToGrid w:val="0"/>
              <w:spacing w:after="120"/>
              <w:ind w:left="1800"/>
              <w:rPr>
                <w:rFonts w:eastAsia="SimSun"/>
                <w:iCs/>
                <w:szCs w:val="21"/>
                <w:lang w:eastAsia="en-US"/>
              </w:rPr>
            </w:pPr>
            <w:r w:rsidRPr="00CE7E1C">
              <w:rPr>
                <w:rFonts w:eastAsia="SimSun"/>
                <w:iCs/>
                <w:szCs w:val="21"/>
                <w:lang w:eastAsia="en-US"/>
              </w:rPr>
              <w:t>Network indication of a specific SCC per-band for measurement.</w:t>
            </w:r>
          </w:p>
          <w:p w14:paraId="62938A9E" w14:textId="77777777" w:rsidR="00476048" w:rsidRPr="00CE7E1C" w:rsidRDefault="00476048" w:rsidP="00476048">
            <w:pPr>
              <w:numPr>
                <w:ilvl w:val="3"/>
                <w:numId w:val="2"/>
              </w:numPr>
              <w:suppressAutoHyphens/>
              <w:snapToGrid w:val="0"/>
              <w:spacing w:after="120"/>
              <w:ind w:left="2520"/>
              <w:rPr>
                <w:rFonts w:eastAsia="SimSun"/>
                <w:iCs/>
                <w:szCs w:val="21"/>
                <w:lang w:eastAsia="en-US"/>
              </w:rPr>
            </w:pPr>
            <w:r w:rsidRPr="00CE7E1C">
              <w:rPr>
                <w:rFonts w:eastAsia="SimSun"/>
                <w:iCs/>
                <w:szCs w:val="21"/>
                <w:lang w:eastAsia="en-US"/>
              </w:rPr>
              <w:t>if network indicates which of the SCC to be measured in a band, UE will perform both serving and neighbour cell measurements on the indicated SCC in a band.</w:t>
            </w:r>
          </w:p>
          <w:p w14:paraId="5139AB69" w14:textId="77777777" w:rsidR="00476048" w:rsidRPr="00CE7E1C" w:rsidRDefault="00476048" w:rsidP="00476048">
            <w:pPr>
              <w:numPr>
                <w:ilvl w:val="1"/>
                <w:numId w:val="2"/>
              </w:numPr>
              <w:overflowPunct w:val="0"/>
              <w:autoSpaceDE w:val="0"/>
              <w:autoSpaceDN w:val="0"/>
              <w:adjustRightInd w:val="0"/>
              <w:snapToGrid w:val="0"/>
              <w:spacing w:after="120"/>
              <w:ind w:left="1080"/>
              <w:rPr>
                <w:rFonts w:eastAsia="SimSun"/>
                <w:iCs/>
                <w:szCs w:val="21"/>
              </w:rPr>
            </w:pPr>
            <w:r w:rsidRPr="00CE7E1C">
              <w:rPr>
                <w:rFonts w:eastAsia="SimSun" w:hint="eastAsia"/>
                <w:iCs/>
                <w:szCs w:val="21"/>
              </w:rPr>
              <w:t>O</w:t>
            </w:r>
            <w:r w:rsidRPr="00CE7E1C">
              <w:rPr>
                <w:rFonts w:eastAsia="SimSun"/>
                <w:iCs/>
                <w:szCs w:val="21"/>
              </w:rPr>
              <w:t xml:space="preserve">therwise, </w:t>
            </w:r>
            <w:r w:rsidRPr="00CE7E1C">
              <w:rPr>
                <w:iCs/>
                <w:szCs w:val="21"/>
              </w:rPr>
              <w:t xml:space="preserve">UE will perform serving and </w:t>
            </w:r>
            <w:proofErr w:type="spellStart"/>
            <w:r w:rsidRPr="00CE7E1C">
              <w:rPr>
                <w:iCs/>
                <w:szCs w:val="21"/>
              </w:rPr>
              <w:t>neighbor</w:t>
            </w:r>
            <w:proofErr w:type="spellEnd"/>
            <w:r w:rsidRPr="00CE7E1C">
              <w:rPr>
                <w:iCs/>
                <w:szCs w:val="21"/>
              </w:rPr>
              <w:t xml:space="preserve"> cell measurements on one SCC per band, which SCC to measure is up to UE implementation.</w:t>
            </w:r>
          </w:p>
          <w:p w14:paraId="2C71B715" w14:textId="77777777" w:rsidR="00476048" w:rsidRPr="00CE7E1C" w:rsidRDefault="00476048" w:rsidP="00476048">
            <w:pPr>
              <w:numPr>
                <w:ilvl w:val="0"/>
                <w:numId w:val="2"/>
              </w:numPr>
              <w:overflowPunct w:val="0"/>
              <w:autoSpaceDE w:val="0"/>
              <w:autoSpaceDN w:val="0"/>
              <w:adjustRightInd w:val="0"/>
              <w:snapToGrid w:val="0"/>
              <w:spacing w:after="120"/>
              <w:ind w:left="360"/>
              <w:rPr>
                <w:iCs/>
                <w:szCs w:val="21"/>
              </w:rPr>
            </w:pPr>
            <w:r w:rsidRPr="00CE7E1C">
              <w:rPr>
                <w:iCs/>
                <w:szCs w:val="21"/>
              </w:rPr>
              <w:t xml:space="preserve">Otherwise, UE will follow the R15 spec to perform serving and </w:t>
            </w:r>
            <w:proofErr w:type="spellStart"/>
            <w:r w:rsidRPr="00CE7E1C">
              <w:rPr>
                <w:iCs/>
                <w:szCs w:val="21"/>
              </w:rPr>
              <w:t>neighbor</w:t>
            </w:r>
            <w:proofErr w:type="spellEnd"/>
            <w:r w:rsidRPr="00CE7E1C">
              <w:rPr>
                <w:iCs/>
                <w:szCs w:val="21"/>
              </w:rPr>
              <w:t xml:space="preserve"> cell measurements.</w:t>
            </w:r>
          </w:p>
          <w:p w14:paraId="2189759A" w14:textId="77777777" w:rsidR="00476048" w:rsidRPr="00CE7E1C" w:rsidRDefault="00476048" w:rsidP="00476048">
            <w:pPr>
              <w:numPr>
                <w:ilvl w:val="0"/>
                <w:numId w:val="2"/>
              </w:numPr>
              <w:overflowPunct w:val="0"/>
              <w:autoSpaceDE w:val="0"/>
              <w:autoSpaceDN w:val="0"/>
              <w:adjustRightInd w:val="0"/>
              <w:snapToGrid w:val="0"/>
              <w:spacing w:after="120"/>
              <w:ind w:left="360"/>
              <w:rPr>
                <w:iCs/>
                <w:szCs w:val="21"/>
              </w:rPr>
            </w:pPr>
            <w:r w:rsidRPr="00CE7E1C">
              <w:rPr>
                <w:iCs/>
                <w:szCs w:val="21"/>
              </w:rPr>
              <w:t>Note: Following the WID, the above agreement applies for the measurement without gap.</w:t>
            </w:r>
          </w:p>
          <w:p w14:paraId="2CEAB141" w14:textId="77777777" w:rsidR="00F624A4" w:rsidRDefault="00F624A4" w:rsidP="00285DDE">
            <w:pPr>
              <w:spacing w:after="120"/>
              <w:rPr>
                <w:rFonts w:eastAsia="SimSun"/>
              </w:rPr>
            </w:pPr>
          </w:p>
          <w:p w14:paraId="01FE89C7" w14:textId="77777777" w:rsidR="00F624A4" w:rsidRDefault="00F624A4" w:rsidP="00285DDE">
            <w:pPr>
              <w:spacing w:after="120"/>
              <w:rPr>
                <w:rFonts w:eastAsia="SimSun"/>
              </w:rPr>
            </w:pPr>
          </w:p>
          <w:p w14:paraId="07D14F50" w14:textId="77777777" w:rsidR="00F624A4" w:rsidRDefault="00F624A4" w:rsidP="00F624A4">
            <w:pPr>
              <w:rPr>
                <w:b/>
                <w:color w:val="0070C0"/>
                <w:u w:val="single"/>
              </w:rPr>
            </w:pPr>
            <w:r>
              <w:rPr>
                <w:b/>
                <w:color w:val="0070C0"/>
                <w:u w:val="single"/>
              </w:rPr>
              <w:lastRenderedPageBreak/>
              <w:t>Issue 1-3-3: Tentative solution 3: 3 searchers for CSSF</w:t>
            </w:r>
          </w:p>
          <w:p w14:paraId="03DC760D" w14:textId="77777777" w:rsidR="00F624A4" w:rsidRPr="00CE7E1C" w:rsidRDefault="00F624A4" w:rsidP="00F624A4">
            <w:pPr>
              <w:rPr>
                <w:b/>
                <w:color w:val="0070C0"/>
                <w:u w:val="single"/>
              </w:rPr>
            </w:pPr>
          </w:p>
          <w:p w14:paraId="3BA976DD" w14:textId="77777777" w:rsidR="00F624A4" w:rsidRPr="00CE7E1C" w:rsidRDefault="00F624A4" w:rsidP="00F624A4">
            <w:pPr>
              <w:autoSpaceDN w:val="0"/>
              <w:snapToGrid w:val="0"/>
              <w:spacing w:after="120"/>
              <w:rPr>
                <w:highlight w:val="green"/>
              </w:rPr>
            </w:pPr>
            <w:r w:rsidRPr="00CE7E1C">
              <w:rPr>
                <w:highlight w:val="green"/>
              </w:rPr>
              <w:t>Agreement:</w:t>
            </w:r>
          </w:p>
          <w:p w14:paraId="6F41C137" w14:textId="77777777" w:rsidR="00F624A4" w:rsidRPr="00CE7E1C" w:rsidRDefault="00F624A4" w:rsidP="00F624A4">
            <w:pPr>
              <w:autoSpaceDN w:val="0"/>
              <w:snapToGrid w:val="0"/>
              <w:spacing w:after="120"/>
            </w:pPr>
            <w:r w:rsidRPr="00CE7E1C">
              <w:t xml:space="preserve">Support Solution 3 </w:t>
            </w:r>
            <w:r w:rsidRPr="00CE7E1C">
              <w:rPr>
                <w:bCs/>
              </w:rPr>
              <w:t>in Rel-19</w:t>
            </w:r>
            <w:r w:rsidRPr="00CE7E1C">
              <w:t>:</w:t>
            </w:r>
          </w:p>
          <w:p w14:paraId="489E5F61" w14:textId="77777777" w:rsidR="00F624A4" w:rsidRPr="00CE7E1C" w:rsidRDefault="00F624A4" w:rsidP="00F624A4">
            <w:pPr>
              <w:numPr>
                <w:ilvl w:val="0"/>
                <w:numId w:val="2"/>
              </w:numPr>
              <w:autoSpaceDN w:val="0"/>
              <w:snapToGrid w:val="0"/>
              <w:spacing w:after="120"/>
              <w:ind w:left="360"/>
            </w:pPr>
            <w:r w:rsidRPr="00CE7E1C">
              <w:t xml:space="preserve">FR1 scenario (CA [and NR-DC]) and FR1 + FR2 scenario (CA [and NR-DC]) only. </w:t>
            </w:r>
          </w:p>
          <w:p w14:paraId="7EBDE493" w14:textId="77777777" w:rsidR="00F624A4" w:rsidRPr="00CE7E1C" w:rsidRDefault="00F624A4" w:rsidP="00F624A4">
            <w:pPr>
              <w:numPr>
                <w:ilvl w:val="1"/>
                <w:numId w:val="2"/>
              </w:numPr>
              <w:autoSpaceDN w:val="0"/>
              <w:snapToGrid w:val="0"/>
              <w:spacing w:after="120"/>
              <w:ind w:left="1080"/>
            </w:pPr>
            <w:r w:rsidRPr="00CE7E1C">
              <w:t>Define separate new UE capabilities for FR1 scenario (CA and NR-DC) and FR1 + FR2 scenario (CA and NR-DC).</w:t>
            </w:r>
          </w:p>
          <w:p w14:paraId="55F6E186" w14:textId="77777777" w:rsidR="00F624A4" w:rsidRPr="00CE7E1C" w:rsidRDefault="00F624A4" w:rsidP="00F624A4">
            <w:pPr>
              <w:numPr>
                <w:ilvl w:val="1"/>
                <w:numId w:val="2"/>
              </w:numPr>
              <w:autoSpaceDN w:val="0"/>
              <w:snapToGrid w:val="0"/>
              <w:spacing w:after="120"/>
              <w:ind w:left="1080"/>
            </w:pPr>
            <w:r w:rsidRPr="00CE7E1C">
              <w:t xml:space="preserve">For FR1+FR2 scenario, </w:t>
            </w:r>
            <w:proofErr w:type="spellStart"/>
            <w:r w:rsidRPr="00CE7E1C">
              <w:t>PCell</w:t>
            </w:r>
            <w:proofErr w:type="spellEnd"/>
            <w:r w:rsidRPr="00CE7E1C">
              <w:t xml:space="preserve"> is FR1</w:t>
            </w:r>
          </w:p>
          <w:p w14:paraId="7B36B0E9" w14:textId="77777777" w:rsidR="00F624A4" w:rsidRPr="00CE7E1C" w:rsidRDefault="00F624A4" w:rsidP="00F624A4">
            <w:pPr>
              <w:numPr>
                <w:ilvl w:val="1"/>
                <w:numId w:val="2"/>
              </w:numPr>
              <w:autoSpaceDN w:val="0"/>
              <w:snapToGrid w:val="0"/>
              <w:spacing w:after="120"/>
              <w:ind w:left="1080"/>
            </w:pPr>
            <w:r w:rsidRPr="00CE7E1C">
              <w:t>FFS whether NR-DC is included or not</w:t>
            </w:r>
          </w:p>
          <w:p w14:paraId="7C2DD5AC" w14:textId="77777777" w:rsidR="00F624A4" w:rsidRPr="00CE7E1C" w:rsidRDefault="00F624A4" w:rsidP="00F624A4">
            <w:pPr>
              <w:snapToGrid w:val="0"/>
              <w:spacing w:after="120"/>
              <w:rPr>
                <w:bCs/>
              </w:rPr>
            </w:pPr>
            <w:r w:rsidRPr="00CE7E1C">
              <w:rPr>
                <w:bCs/>
              </w:rPr>
              <w:t xml:space="preserve">Design for solution 3 </w:t>
            </w:r>
            <w:r w:rsidRPr="00CE7E1C">
              <w:rPr>
                <w:rFonts w:hint="eastAsia"/>
                <w:bCs/>
              </w:rPr>
              <w:t>(</w:t>
            </w:r>
            <w:r w:rsidRPr="00CE7E1C">
              <w:rPr>
                <w:bCs/>
              </w:rPr>
              <w:t>agreed in ad-hoc session)</w:t>
            </w:r>
          </w:p>
          <w:p w14:paraId="056B3195" w14:textId="77777777" w:rsidR="00F624A4" w:rsidRPr="00CE7E1C" w:rsidRDefault="00F624A4" w:rsidP="00F624A4">
            <w:pPr>
              <w:numPr>
                <w:ilvl w:val="0"/>
                <w:numId w:val="2"/>
              </w:numPr>
              <w:autoSpaceDN w:val="0"/>
              <w:snapToGrid w:val="0"/>
              <w:spacing w:after="120"/>
              <w:ind w:left="360"/>
              <w:rPr>
                <w:bCs/>
              </w:rPr>
            </w:pPr>
            <w:r w:rsidRPr="00CE7E1C">
              <w:rPr>
                <w:bCs/>
              </w:rPr>
              <w:t>Option 3 is as a by-default for CSSF enhancement solution 3, unless RAN4 agreed to introduce a network indication for specific SCC to use 3</w:t>
            </w:r>
            <w:r w:rsidRPr="00CE7E1C">
              <w:rPr>
                <w:bCs/>
                <w:vertAlign w:val="superscript"/>
              </w:rPr>
              <w:t>rd</w:t>
            </w:r>
            <w:r w:rsidRPr="00CE7E1C">
              <w:rPr>
                <w:bCs/>
              </w:rPr>
              <w:t xml:space="preserve"> searcher in the future.</w:t>
            </w:r>
          </w:p>
          <w:p w14:paraId="41D07821" w14:textId="411EFDAB" w:rsidR="00285DDE" w:rsidRPr="005A5548" w:rsidRDefault="00F624A4" w:rsidP="00F624A4">
            <w:pPr>
              <w:numPr>
                <w:ilvl w:val="2"/>
                <w:numId w:val="2"/>
              </w:numPr>
              <w:overflowPunct w:val="0"/>
              <w:autoSpaceDE w:val="0"/>
              <w:autoSpaceDN w:val="0"/>
              <w:adjustRightInd w:val="0"/>
              <w:snapToGrid w:val="0"/>
              <w:spacing w:after="120"/>
              <w:ind w:left="1800" w:hanging="357"/>
            </w:pPr>
            <w:r w:rsidRPr="00CE7E1C">
              <w:t>Option 3: For 3 searcher scenario, on top of keeping the legacy two (the first and the second) searchers sharing rule,</w:t>
            </w:r>
            <w:r w:rsidR="005A5548">
              <w:t xml:space="preserve"> </w:t>
            </w:r>
            <w:r w:rsidRPr="00CE7E1C">
              <w:t>the 3rd searcher resource sharing is same as the second searcher sharing</w:t>
            </w:r>
          </w:p>
          <w:p w14:paraId="5B12B054" w14:textId="77777777" w:rsidR="00285DDE" w:rsidRPr="00A84DD1" w:rsidRDefault="00285DDE" w:rsidP="00285DDE">
            <w:pPr>
              <w:spacing w:after="120"/>
              <w:rPr>
                <w:rFonts w:eastAsia="SimSun"/>
                <w:highlight w:val="green"/>
              </w:rPr>
            </w:pPr>
            <w:r w:rsidRPr="00A84DD1">
              <w:rPr>
                <w:rFonts w:eastAsia="SimSun"/>
                <w:highlight w:val="green"/>
              </w:rPr>
              <w:t>Agreement:</w:t>
            </w:r>
          </w:p>
          <w:p w14:paraId="7703721C" w14:textId="77777777" w:rsidR="00285DDE" w:rsidRPr="001F4CB4" w:rsidRDefault="00285DDE" w:rsidP="00285DDE">
            <w:pPr>
              <w:pStyle w:val="ListParagraph"/>
              <w:numPr>
                <w:ilvl w:val="0"/>
                <w:numId w:val="2"/>
              </w:numPr>
              <w:overflowPunct w:val="0"/>
              <w:autoSpaceDE w:val="0"/>
              <w:autoSpaceDN w:val="0"/>
              <w:adjustRightInd w:val="0"/>
              <w:spacing w:after="120"/>
              <w:ind w:left="936"/>
              <w:contextualSpacing w:val="0"/>
              <w:textAlignment w:val="baseline"/>
              <w:rPr>
                <w:rFonts w:eastAsia="SimSun"/>
              </w:rPr>
            </w:pPr>
            <w:r w:rsidRPr="001F4CB4">
              <w:rPr>
                <w:rFonts w:eastAsia="SimSun"/>
              </w:rPr>
              <w:t xml:space="preserve">RAN4 to introduce new individual capability(s) for CSSF reduction in R19. </w:t>
            </w:r>
          </w:p>
          <w:p w14:paraId="5A3D9614" w14:textId="77777777" w:rsidR="00285DDE" w:rsidRPr="001F4CB4" w:rsidRDefault="00285DDE" w:rsidP="00285DDE">
            <w:pPr>
              <w:pStyle w:val="ListParagraph"/>
              <w:numPr>
                <w:ilvl w:val="1"/>
                <w:numId w:val="2"/>
              </w:numPr>
              <w:spacing w:after="120"/>
              <w:ind w:left="1656"/>
              <w:contextualSpacing w:val="0"/>
              <w:rPr>
                <w:rFonts w:eastAsia="SimSun"/>
              </w:rPr>
            </w:pPr>
            <w:r w:rsidRPr="001F4CB4">
              <w:rPr>
                <w:rFonts w:eastAsia="SimSun"/>
              </w:rPr>
              <w:t>delay the capability detail discussion to the end of the core part.</w:t>
            </w:r>
          </w:p>
          <w:p w14:paraId="07B36B7D" w14:textId="77777777" w:rsidR="00285DDE" w:rsidRDefault="00285DDE" w:rsidP="00285DDE">
            <w:pPr>
              <w:rPr>
                <w:b/>
                <w:color w:val="0070C0"/>
                <w:u w:val="single"/>
              </w:rPr>
            </w:pPr>
          </w:p>
          <w:p w14:paraId="092F554F" w14:textId="77777777" w:rsidR="00285DDE" w:rsidRDefault="00285DDE" w:rsidP="00285DDE">
            <w:pPr>
              <w:rPr>
                <w:b/>
                <w:color w:val="0070C0"/>
                <w:u w:val="single"/>
              </w:rPr>
            </w:pPr>
          </w:p>
          <w:p w14:paraId="77E86255" w14:textId="77777777" w:rsidR="00285DDE" w:rsidRDefault="00285DDE" w:rsidP="00285DDE">
            <w:pPr>
              <w:pStyle w:val="Heading3"/>
            </w:pPr>
            <w:r>
              <w:t>Issue 2-7: Other WID scope discussion</w:t>
            </w:r>
          </w:p>
          <w:p w14:paraId="29113E48" w14:textId="77777777" w:rsidR="00285DDE" w:rsidRPr="00A84DD1" w:rsidRDefault="00285DDE" w:rsidP="00285DDE">
            <w:pPr>
              <w:spacing w:after="120"/>
              <w:rPr>
                <w:rFonts w:eastAsia="SimSun"/>
                <w:highlight w:val="green"/>
              </w:rPr>
            </w:pPr>
            <w:r w:rsidRPr="00A84DD1">
              <w:rPr>
                <w:rFonts w:eastAsia="SimSun"/>
                <w:highlight w:val="green"/>
              </w:rPr>
              <w:t>Agreement:</w:t>
            </w:r>
          </w:p>
          <w:p w14:paraId="158F1D1C" w14:textId="77777777" w:rsidR="00285DDE" w:rsidRPr="001F4CB4" w:rsidRDefault="00285DDE" w:rsidP="00285DDE">
            <w:pPr>
              <w:pStyle w:val="ListParagraph"/>
              <w:numPr>
                <w:ilvl w:val="0"/>
                <w:numId w:val="7"/>
              </w:numPr>
              <w:overflowPunct w:val="0"/>
              <w:autoSpaceDE w:val="0"/>
              <w:autoSpaceDN w:val="0"/>
              <w:adjustRightInd w:val="0"/>
              <w:spacing w:after="120"/>
              <w:contextualSpacing w:val="0"/>
              <w:textAlignment w:val="baseline"/>
              <w:rPr>
                <w:rFonts w:eastAsia="SimSun"/>
              </w:rPr>
            </w:pPr>
            <w:r w:rsidRPr="001F4CB4">
              <w:rPr>
                <w:rFonts w:eastAsia="SimSun"/>
              </w:rPr>
              <w:t>after FR2-1 L3 measurement delay reduction by optimizing CSSF is concluded, the technical solutions can be extended to FR1 if applicable</w:t>
            </w:r>
          </w:p>
          <w:p w14:paraId="0AC0B7B4" w14:textId="77777777" w:rsidR="00285DDE" w:rsidRPr="0050592D" w:rsidRDefault="00285DDE" w:rsidP="00706DE6">
            <w:pPr>
              <w:overflowPunct w:val="0"/>
              <w:autoSpaceDE w:val="0"/>
              <w:autoSpaceDN w:val="0"/>
              <w:adjustRightInd w:val="0"/>
              <w:spacing w:after="120"/>
              <w:textAlignment w:val="baseline"/>
            </w:pPr>
          </w:p>
        </w:tc>
      </w:tr>
    </w:tbl>
    <w:p w14:paraId="20AC3D3E" w14:textId="77777777" w:rsidR="00285DDE" w:rsidRDefault="00285DDE" w:rsidP="00285DDE"/>
    <w:p w14:paraId="0AB627AD" w14:textId="77777777" w:rsidR="00285DDE" w:rsidRDefault="00285DDE" w:rsidP="00285DDE">
      <w:pPr>
        <w:pStyle w:val="Heading1"/>
      </w:pPr>
      <w:r>
        <w:t xml:space="preserve">3. </w:t>
      </w:r>
      <w:r>
        <w:tab/>
        <w:t>Discussion</w:t>
      </w:r>
    </w:p>
    <w:p w14:paraId="091CDB83" w14:textId="77777777" w:rsidR="00285DDE" w:rsidRDefault="00285DDE" w:rsidP="00285DDE"/>
    <w:p w14:paraId="331DE4E4" w14:textId="42412F1C" w:rsidR="00285DDE" w:rsidRDefault="005A5548" w:rsidP="00285DDE">
      <w:pPr>
        <w:pStyle w:val="Heading2"/>
      </w:pPr>
      <w:r>
        <w:t>Design</w:t>
      </w:r>
      <w:r w:rsidR="00285DDE">
        <w:t xml:space="preserve"> of Three Searchers</w:t>
      </w:r>
      <w:r>
        <w:t xml:space="preserve"> for CSSF</w:t>
      </w:r>
    </w:p>
    <w:p w14:paraId="1CE2D06D" w14:textId="77777777" w:rsidR="00285DDE" w:rsidRDefault="00285DDE" w:rsidP="00285DDE"/>
    <w:p w14:paraId="731FAA75" w14:textId="020ADE02" w:rsidR="005A5548" w:rsidRDefault="005A5548" w:rsidP="00285DDE">
      <w:r>
        <w:t xml:space="preserve">RAN4 has already agreed to support </w:t>
      </w:r>
      <w:r w:rsidR="00DF02D0">
        <w:t>three searchers in FR1 CA and FR1 + FR2 CA (</w:t>
      </w:r>
      <w:proofErr w:type="spellStart"/>
      <w:r w:rsidR="00DF02D0">
        <w:t>PCell</w:t>
      </w:r>
      <w:proofErr w:type="spellEnd"/>
      <w:r w:rsidR="00DF02D0">
        <w:t xml:space="preserve"> FR1) scenario. </w:t>
      </w:r>
      <w:r w:rsidR="00124BA9">
        <w:t>The benefits of three searchers for CSSF extend to NR-DC, as well. Hence, three searchers for CSSF should be assumed for NR-DC, as well.</w:t>
      </w:r>
    </w:p>
    <w:p w14:paraId="63224FA3" w14:textId="77777777" w:rsidR="004E3DF4" w:rsidRDefault="00124BA9" w:rsidP="00285DDE">
      <w:r>
        <w:t xml:space="preserve">RAN4 also </w:t>
      </w:r>
      <w:r w:rsidR="009B224D">
        <w:t>discussed whether to introduce a network signalling for specific SCC to use the 3</w:t>
      </w:r>
      <w:r w:rsidR="009B224D" w:rsidRPr="009B224D">
        <w:rPr>
          <w:vertAlign w:val="superscript"/>
        </w:rPr>
        <w:t>rd</w:t>
      </w:r>
      <w:r w:rsidR="009B224D">
        <w:t xml:space="preserve"> searcher. The advantages of specifically indicating </w:t>
      </w:r>
      <w:r w:rsidR="007F4645">
        <w:t>a specific SCC to use for the 3</w:t>
      </w:r>
      <w:r w:rsidR="007F4645" w:rsidRPr="007F4645">
        <w:rPr>
          <w:vertAlign w:val="superscript"/>
        </w:rPr>
        <w:t>rd</w:t>
      </w:r>
      <w:r w:rsidR="007F4645">
        <w:t xml:space="preserve"> searcher are not clear. Hence, RAN4 should just stick to the </w:t>
      </w:r>
      <w:r w:rsidR="004E3DF4">
        <w:t>already agreed default design for the 3-searcher scenario where, on top of keeping the legacy two (the first and the second) searchers sharing rule, the 3</w:t>
      </w:r>
      <w:r w:rsidR="004E3DF4" w:rsidRPr="004E3DF4">
        <w:rPr>
          <w:vertAlign w:val="superscript"/>
        </w:rPr>
        <w:t>rd</w:t>
      </w:r>
      <w:r w:rsidR="004E3DF4">
        <w:t xml:space="preserve"> searcher resource sharing is same as the 2</w:t>
      </w:r>
      <w:r w:rsidR="004E3DF4" w:rsidRPr="004E3DF4">
        <w:rPr>
          <w:vertAlign w:val="superscript"/>
        </w:rPr>
        <w:t>nd</w:t>
      </w:r>
      <w:r w:rsidR="004E3DF4">
        <w:t xml:space="preserve"> searcher sharing.</w:t>
      </w:r>
    </w:p>
    <w:p w14:paraId="1E89B296" w14:textId="3A5241ED" w:rsidR="00124BA9" w:rsidRPr="00C231B7" w:rsidRDefault="004E3DF4" w:rsidP="00285DDE">
      <w:pPr>
        <w:rPr>
          <w:b/>
          <w:bCs/>
        </w:rPr>
      </w:pPr>
      <w:r w:rsidRPr="00C231B7">
        <w:rPr>
          <w:b/>
          <w:bCs/>
        </w:rPr>
        <w:t>Observation 1:  RAN4 has already agreed to support three searchers in FR1 CA and FR1 + FR2 CA (</w:t>
      </w:r>
      <w:proofErr w:type="spellStart"/>
      <w:r w:rsidRPr="00C231B7">
        <w:rPr>
          <w:b/>
          <w:bCs/>
        </w:rPr>
        <w:t>PCell</w:t>
      </w:r>
      <w:proofErr w:type="spellEnd"/>
      <w:r w:rsidRPr="00C231B7">
        <w:rPr>
          <w:b/>
          <w:bCs/>
        </w:rPr>
        <w:t xml:space="preserve"> FR1) scenario. The benefits of three searchers for CSSF extend to NR-DC, as well.</w:t>
      </w:r>
    </w:p>
    <w:p w14:paraId="0507F80A" w14:textId="570F8140" w:rsidR="004E3DF4" w:rsidRPr="00C231B7" w:rsidRDefault="004E3DF4" w:rsidP="00285DDE">
      <w:pPr>
        <w:rPr>
          <w:b/>
          <w:bCs/>
        </w:rPr>
      </w:pPr>
      <w:r w:rsidRPr="00C231B7">
        <w:rPr>
          <w:b/>
          <w:bCs/>
        </w:rPr>
        <w:t>Observation 2: The advantages of specifically indicating a specific SCC to use for the 3</w:t>
      </w:r>
      <w:r w:rsidRPr="00C231B7">
        <w:rPr>
          <w:b/>
          <w:bCs/>
          <w:vertAlign w:val="superscript"/>
        </w:rPr>
        <w:t>rd</w:t>
      </w:r>
      <w:r w:rsidRPr="00C231B7">
        <w:rPr>
          <w:b/>
          <w:bCs/>
        </w:rPr>
        <w:t xml:space="preserve"> searcher of CSSF are not clear.</w:t>
      </w:r>
    </w:p>
    <w:p w14:paraId="3C1EAB7D" w14:textId="5C730FCF" w:rsidR="004E3DF4" w:rsidRPr="00C231B7" w:rsidRDefault="004E3DF4" w:rsidP="00285DDE">
      <w:pPr>
        <w:rPr>
          <w:b/>
          <w:bCs/>
        </w:rPr>
      </w:pPr>
      <w:r w:rsidRPr="00C231B7">
        <w:rPr>
          <w:b/>
          <w:bCs/>
        </w:rPr>
        <w:t xml:space="preserve">Proposal 1: Support </w:t>
      </w:r>
      <w:r w:rsidR="005E27B3" w:rsidRPr="00C231B7">
        <w:rPr>
          <w:b/>
          <w:bCs/>
        </w:rPr>
        <w:t>three searchers for CSSF in NR-DC of FR1 and FR1 + FR2.</w:t>
      </w:r>
    </w:p>
    <w:p w14:paraId="70F89ABD" w14:textId="77777777" w:rsidR="009A0C23" w:rsidRDefault="005E27B3" w:rsidP="005E27B3">
      <w:pPr>
        <w:rPr>
          <w:b/>
          <w:bCs/>
        </w:rPr>
      </w:pPr>
      <w:r w:rsidRPr="00C231B7">
        <w:rPr>
          <w:b/>
          <w:bCs/>
        </w:rPr>
        <w:lastRenderedPageBreak/>
        <w:t xml:space="preserve">Proposal 2: </w:t>
      </w:r>
    </w:p>
    <w:p w14:paraId="111C599D" w14:textId="2DA6BEF5" w:rsidR="009A0C23" w:rsidRPr="009A0C23" w:rsidRDefault="005E27B3" w:rsidP="009A0C23">
      <w:pPr>
        <w:pStyle w:val="ListParagraph"/>
        <w:numPr>
          <w:ilvl w:val="0"/>
          <w:numId w:val="8"/>
        </w:numPr>
        <w:rPr>
          <w:b/>
          <w:bCs/>
        </w:rPr>
      </w:pPr>
      <w:r w:rsidRPr="009A0C23">
        <w:rPr>
          <w:b/>
          <w:bCs/>
        </w:rPr>
        <w:t xml:space="preserve">RAN4 </w:t>
      </w:r>
      <w:r w:rsidR="00175DB0" w:rsidRPr="009A0C23">
        <w:rPr>
          <w:b/>
          <w:bCs/>
        </w:rPr>
        <w:t>does</w:t>
      </w:r>
      <w:r w:rsidRPr="009A0C23">
        <w:rPr>
          <w:b/>
          <w:bCs/>
        </w:rPr>
        <w:t xml:space="preserve"> not introduce network </w:t>
      </w:r>
      <w:proofErr w:type="spellStart"/>
      <w:r w:rsidRPr="009A0C23">
        <w:rPr>
          <w:b/>
          <w:bCs/>
        </w:rPr>
        <w:t>signaling</w:t>
      </w:r>
      <w:proofErr w:type="spellEnd"/>
      <w:r w:rsidRPr="009A0C23">
        <w:rPr>
          <w:b/>
          <w:bCs/>
        </w:rPr>
        <w:t xml:space="preserve"> to indicate </w:t>
      </w:r>
      <w:r w:rsidR="00C231B7" w:rsidRPr="009A0C23">
        <w:rPr>
          <w:b/>
          <w:bCs/>
        </w:rPr>
        <w:t>a specific SCC to use for the 3</w:t>
      </w:r>
      <w:r w:rsidR="00C231B7" w:rsidRPr="009A0C23">
        <w:rPr>
          <w:b/>
          <w:bCs/>
          <w:vertAlign w:val="superscript"/>
        </w:rPr>
        <w:t>rd</w:t>
      </w:r>
      <w:r w:rsidR="00C231B7" w:rsidRPr="009A0C23">
        <w:rPr>
          <w:b/>
          <w:bCs/>
        </w:rPr>
        <w:t xml:space="preserve"> searcher of CSSF. </w:t>
      </w:r>
    </w:p>
    <w:p w14:paraId="63386E64" w14:textId="5ED1B201" w:rsidR="005E27B3" w:rsidRPr="009A0C23" w:rsidRDefault="00C231B7" w:rsidP="009A0C23">
      <w:pPr>
        <w:pStyle w:val="ListParagraph"/>
        <w:numPr>
          <w:ilvl w:val="0"/>
          <w:numId w:val="8"/>
        </w:numPr>
        <w:rPr>
          <w:b/>
          <w:bCs/>
        </w:rPr>
      </w:pPr>
      <w:r w:rsidRPr="009A0C23">
        <w:rPr>
          <w:b/>
          <w:bCs/>
        </w:rPr>
        <w:t>RAN4 just keeps</w:t>
      </w:r>
      <w:r w:rsidR="005E27B3" w:rsidRPr="009A0C23">
        <w:rPr>
          <w:b/>
          <w:bCs/>
        </w:rPr>
        <w:t xml:space="preserve"> the already agreed default design for the 3-searcher scenario where, on top of keeping the legacy two (the first and the second) searchers sharing rule, the 3</w:t>
      </w:r>
      <w:r w:rsidR="005E27B3" w:rsidRPr="009A0C23">
        <w:rPr>
          <w:b/>
          <w:bCs/>
          <w:vertAlign w:val="superscript"/>
        </w:rPr>
        <w:t>rd</w:t>
      </w:r>
      <w:r w:rsidR="005E27B3" w:rsidRPr="009A0C23">
        <w:rPr>
          <w:b/>
          <w:bCs/>
        </w:rPr>
        <w:t xml:space="preserve"> searcher resource sharing is same as the 2</w:t>
      </w:r>
      <w:r w:rsidR="005E27B3" w:rsidRPr="009A0C23">
        <w:rPr>
          <w:b/>
          <w:bCs/>
          <w:vertAlign w:val="superscript"/>
        </w:rPr>
        <w:t>nd</w:t>
      </w:r>
      <w:r w:rsidR="005E27B3" w:rsidRPr="009A0C23">
        <w:rPr>
          <w:b/>
          <w:bCs/>
        </w:rPr>
        <w:t xml:space="preserve"> searcher sharing.</w:t>
      </w:r>
    </w:p>
    <w:p w14:paraId="0CFBF85E" w14:textId="77777777" w:rsidR="00285DDE" w:rsidRPr="001E4305" w:rsidRDefault="00285DDE" w:rsidP="00285DDE">
      <w:pPr>
        <w:pStyle w:val="Heading1"/>
      </w:pPr>
      <w:r>
        <w:t>4.</w:t>
      </w:r>
      <w:r>
        <w:tab/>
        <w:t>Conclusion</w:t>
      </w:r>
    </w:p>
    <w:p w14:paraId="2B34D104" w14:textId="77777777" w:rsidR="00C231B7" w:rsidRPr="00C231B7" w:rsidRDefault="00C231B7" w:rsidP="00C231B7">
      <w:pPr>
        <w:rPr>
          <w:b/>
          <w:bCs/>
        </w:rPr>
      </w:pPr>
      <w:r w:rsidRPr="00C231B7">
        <w:rPr>
          <w:b/>
          <w:bCs/>
        </w:rPr>
        <w:t>Observation 1:  RAN4 has already agreed to support three searchers in FR1 CA and FR1 + FR2 CA (</w:t>
      </w:r>
      <w:proofErr w:type="spellStart"/>
      <w:r w:rsidRPr="00C231B7">
        <w:rPr>
          <w:b/>
          <w:bCs/>
        </w:rPr>
        <w:t>PCell</w:t>
      </w:r>
      <w:proofErr w:type="spellEnd"/>
      <w:r w:rsidRPr="00C231B7">
        <w:rPr>
          <w:b/>
          <w:bCs/>
        </w:rPr>
        <w:t xml:space="preserve"> FR1) scenario. The benefits of three searchers for CSSF extend to NR-DC, as well.</w:t>
      </w:r>
    </w:p>
    <w:p w14:paraId="24435A13" w14:textId="77777777" w:rsidR="00C231B7" w:rsidRPr="00C231B7" w:rsidRDefault="00C231B7" w:rsidP="00C231B7">
      <w:pPr>
        <w:rPr>
          <w:b/>
          <w:bCs/>
        </w:rPr>
      </w:pPr>
      <w:r w:rsidRPr="00C231B7">
        <w:rPr>
          <w:b/>
          <w:bCs/>
        </w:rPr>
        <w:t>Observation 2: The advantages of specifically indicating a specific SCC to use for the 3</w:t>
      </w:r>
      <w:r w:rsidRPr="00C231B7">
        <w:rPr>
          <w:b/>
          <w:bCs/>
          <w:vertAlign w:val="superscript"/>
        </w:rPr>
        <w:t>rd</w:t>
      </w:r>
      <w:r w:rsidRPr="00C231B7">
        <w:rPr>
          <w:b/>
          <w:bCs/>
        </w:rPr>
        <w:t xml:space="preserve"> searcher of CSSF are not clear.</w:t>
      </w:r>
    </w:p>
    <w:p w14:paraId="46E359A7" w14:textId="77777777" w:rsidR="00C231B7" w:rsidRPr="00C231B7" w:rsidRDefault="00C231B7" w:rsidP="00C231B7">
      <w:pPr>
        <w:rPr>
          <w:b/>
          <w:bCs/>
        </w:rPr>
      </w:pPr>
      <w:r w:rsidRPr="00C231B7">
        <w:rPr>
          <w:b/>
          <w:bCs/>
        </w:rPr>
        <w:t>Proposal 1: Support three searchers for CSSF in NR-DC of FR1 and FR1 + FR2.</w:t>
      </w:r>
    </w:p>
    <w:p w14:paraId="2488581E" w14:textId="77777777" w:rsidR="009A0C23" w:rsidRDefault="009A0C23" w:rsidP="009A0C23">
      <w:pPr>
        <w:rPr>
          <w:b/>
          <w:bCs/>
        </w:rPr>
      </w:pPr>
      <w:r w:rsidRPr="00C231B7">
        <w:rPr>
          <w:b/>
          <w:bCs/>
        </w:rPr>
        <w:t xml:space="preserve">Proposal 2: </w:t>
      </w:r>
    </w:p>
    <w:p w14:paraId="1DA9492C" w14:textId="77777777" w:rsidR="009A0C23" w:rsidRPr="009A0C23" w:rsidRDefault="009A0C23" w:rsidP="009A0C23">
      <w:pPr>
        <w:pStyle w:val="ListParagraph"/>
        <w:numPr>
          <w:ilvl w:val="0"/>
          <w:numId w:val="8"/>
        </w:numPr>
        <w:rPr>
          <w:b/>
          <w:bCs/>
        </w:rPr>
      </w:pPr>
      <w:r w:rsidRPr="009A0C23">
        <w:rPr>
          <w:b/>
          <w:bCs/>
        </w:rPr>
        <w:t xml:space="preserve">RAN4 does not introduce network </w:t>
      </w:r>
      <w:proofErr w:type="spellStart"/>
      <w:r w:rsidRPr="009A0C23">
        <w:rPr>
          <w:b/>
          <w:bCs/>
        </w:rPr>
        <w:t>signaling</w:t>
      </w:r>
      <w:proofErr w:type="spellEnd"/>
      <w:r w:rsidRPr="009A0C23">
        <w:rPr>
          <w:b/>
          <w:bCs/>
        </w:rPr>
        <w:t xml:space="preserve"> to indicate a specific SCC to use for the 3</w:t>
      </w:r>
      <w:r w:rsidRPr="009A0C23">
        <w:rPr>
          <w:b/>
          <w:bCs/>
          <w:vertAlign w:val="superscript"/>
        </w:rPr>
        <w:t>rd</w:t>
      </w:r>
      <w:r w:rsidRPr="009A0C23">
        <w:rPr>
          <w:b/>
          <w:bCs/>
        </w:rPr>
        <w:t xml:space="preserve"> searcher of CSSF. </w:t>
      </w:r>
    </w:p>
    <w:p w14:paraId="0268E166" w14:textId="77777777" w:rsidR="009A0C23" w:rsidRPr="009A0C23" w:rsidRDefault="009A0C23" w:rsidP="009A0C23">
      <w:pPr>
        <w:pStyle w:val="ListParagraph"/>
        <w:numPr>
          <w:ilvl w:val="0"/>
          <w:numId w:val="8"/>
        </w:numPr>
        <w:rPr>
          <w:b/>
          <w:bCs/>
        </w:rPr>
      </w:pPr>
      <w:r w:rsidRPr="009A0C23">
        <w:rPr>
          <w:b/>
          <w:bCs/>
        </w:rPr>
        <w:t>RAN4 just keeps the already agreed default design for the 3-searcher scenario where, on top of keeping the legacy two (the first and the second) searchers sharing rule, the 3</w:t>
      </w:r>
      <w:r w:rsidRPr="009A0C23">
        <w:rPr>
          <w:b/>
          <w:bCs/>
          <w:vertAlign w:val="superscript"/>
        </w:rPr>
        <w:t>rd</w:t>
      </w:r>
      <w:r w:rsidRPr="009A0C23">
        <w:rPr>
          <w:b/>
          <w:bCs/>
        </w:rPr>
        <w:t xml:space="preserve"> searcher resource sharing is same as the 2</w:t>
      </w:r>
      <w:r w:rsidRPr="009A0C23">
        <w:rPr>
          <w:b/>
          <w:bCs/>
          <w:vertAlign w:val="superscript"/>
        </w:rPr>
        <w:t>nd</w:t>
      </w:r>
      <w:r w:rsidRPr="009A0C23">
        <w:rPr>
          <w:b/>
          <w:bCs/>
        </w:rPr>
        <w:t xml:space="preserve"> searcher sharing.</w:t>
      </w:r>
    </w:p>
    <w:p w14:paraId="5536FF44" w14:textId="77777777" w:rsidR="00DF6D52" w:rsidRPr="00DF6D52" w:rsidRDefault="00DF6D52" w:rsidP="00285DDE"/>
    <w:p w14:paraId="7B282B5C" w14:textId="77777777" w:rsidR="00285DDE" w:rsidRDefault="00285DDE" w:rsidP="00285DDE">
      <w:pPr>
        <w:pStyle w:val="Heading1"/>
      </w:pPr>
      <w:r>
        <w:t>5.  Reference</w:t>
      </w:r>
    </w:p>
    <w:p w14:paraId="0492142D" w14:textId="21470AF5" w:rsidR="00D91368" w:rsidRPr="00DF6D52" w:rsidRDefault="00285DDE" w:rsidP="00285DDE">
      <w:pPr>
        <w:spacing w:after="120"/>
        <w:ind w:left="1985" w:hanging="1985"/>
        <w:rPr>
          <w:color w:val="000000"/>
        </w:rPr>
      </w:pPr>
      <w:r w:rsidRPr="00DF6D52">
        <w:rPr>
          <w:noProof/>
        </w:rPr>
        <w:t xml:space="preserve">[1] </w:t>
      </w:r>
      <w:r w:rsidRPr="00DF6D52">
        <w:t>R4-24</w:t>
      </w:r>
      <w:r w:rsidRPr="00DF6D52">
        <w:rPr>
          <w:lang w:eastAsia="zh-CN"/>
        </w:rPr>
        <w:t>20093</w:t>
      </w:r>
      <w:r w:rsidRPr="00DF6D52">
        <w:rPr>
          <w:noProof/>
        </w:rPr>
        <w:t xml:space="preserve">, </w:t>
      </w:r>
      <w:r w:rsidRPr="00DF6D52">
        <w:rPr>
          <w:color w:val="000000"/>
        </w:rPr>
        <w:t>WF on RRM requirements for NR_RRM_Ph5_Part1, RAN3 #113.</w:t>
      </w:r>
    </w:p>
    <w:p w14:paraId="7CE38243" w14:textId="7DE89ABF" w:rsidR="00DD2343" w:rsidRDefault="00DF6D52" w:rsidP="00285DDE">
      <w:pPr>
        <w:spacing w:after="120"/>
        <w:ind w:left="1985" w:hanging="1985"/>
      </w:pPr>
      <w:r w:rsidRPr="00DF6D52">
        <w:t>[2] 3GPP TS 38.331 V 18.2.0</w:t>
      </w:r>
    </w:p>
    <w:p w14:paraId="1F4DEA47" w14:textId="14D6F8C6" w:rsidR="00F624A4" w:rsidRPr="00DF6D52" w:rsidRDefault="00F624A4" w:rsidP="00285DDE">
      <w:pPr>
        <w:spacing w:after="120"/>
        <w:ind w:left="1985" w:hanging="1985"/>
      </w:pPr>
      <w:r>
        <w:t xml:space="preserve">[3] </w:t>
      </w:r>
      <w:r w:rsidR="00B9425D">
        <w:t>R4-250</w:t>
      </w:r>
      <w:r w:rsidR="000C2414">
        <w:t>2592, WF on RRM requirements for NR_RRM_Ph5_Part1, 3GPP TSG-RAN WG4 #114.</w:t>
      </w:r>
    </w:p>
    <w:sectPr w:rsidR="00F624A4" w:rsidRPr="00DF6D52" w:rsidSect="00285DDE">
      <w:pgSz w:w="11898" w:h="16827"/>
      <w:pgMar w:top="1416" w:right="1133" w:bottom="1133" w:left="1133" w:header="850" w:footer="34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D669D"/>
    <w:multiLevelType w:val="hybridMultilevel"/>
    <w:tmpl w:val="0D8C0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EB061F"/>
    <w:multiLevelType w:val="hybridMultilevel"/>
    <w:tmpl w:val="685AA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EC43F2"/>
    <w:multiLevelType w:val="hybridMultilevel"/>
    <w:tmpl w:val="DAD6DA94"/>
    <w:lvl w:ilvl="0" w:tplc="18D62798">
      <w:start w:val="1"/>
      <w:numFmt w:val="bullet"/>
      <w:lvlText w:val="•"/>
      <w:lvlJc w:val="left"/>
      <w:pPr>
        <w:tabs>
          <w:tab w:val="num" w:pos="720"/>
        </w:tabs>
        <w:ind w:left="720" w:hanging="360"/>
      </w:pPr>
      <w:rPr>
        <w:rFonts w:ascii="Arial" w:hAnsi="Arial" w:hint="default"/>
      </w:rPr>
    </w:lvl>
    <w:lvl w:ilvl="1" w:tplc="7F44ECF8" w:tentative="1">
      <w:start w:val="1"/>
      <w:numFmt w:val="bullet"/>
      <w:lvlText w:val="•"/>
      <w:lvlJc w:val="left"/>
      <w:pPr>
        <w:tabs>
          <w:tab w:val="num" w:pos="1440"/>
        </w:tabs>
        <w:ind w:left="1440" w:hanging="360"/>
      </w:pPr>
      <w:rPr>
        <w:rFonts w:ascii="Arial" w:hAnsi="Arial" w:hint="default"/>
      </w:rPr>
    </w:lvl>
    <w:lvl w:ilvl="2" w:tplc="AE58106A" w:tentative="1">
      <w:start w:val="1"/>
      <w:numFmt w:val="bullet"/>
      <w:lvlText w:val="•"/>
      <w:lvlJc w:val="left"/>
      <w:pPr>
        <w:tabs>
          <w:tab w:val="num" w:pos="2160"/>
        </w:tabs>
        <w:ind w:left="2160" w:hanging="360"/>
      </w:pPr>
      <w:rPr>
        <w:rFonts w:ascii="Arial" w:hAnsi="Arial" w:hint="default"/>
      </w:rPr>
    </w:lvl>
    <w:lvl w:ilvl="3" w:tplc="1C7C3E00" w:tentative="1">
      <w:start w:val="1"/>
      <w:numFmt w:val="bullet"/>
      <w:lvlText w:val="•"/>
      <w:lvlJc w:val="left"/>
      <w:pPr>
        <w:tabs>
          <w:tab w:val="num" w:pos="2880"/>
        </w:tabs>
        <w:ind w:left="2880" w:hanging="360"/>
      </w:pPr>
      <w:rPr>
        <w:rFonts w:ascii="Arial" w:hAnsi="Arial" w:hint="default"/>
      </w:rPr>
    </w:lvl>
    <w:lvl w:ilvl="4" w:tplc="0B82D89A" w:tentative="1">
      <w:start w:val="1"/>
      <w:numFmt w:val="bullet"/>
      <w:lvlText w:val="•"/>
      <w:lvlJc w:val="left"/>
      <w:pPr>
        <w:tabs>
          <w:tab w:val="num" w:pos="3600"/>
        </w:tabs>
        <w:ind w:left="3600" w:hanging="360"/>
      </w:pPr>
      <w:rPr>
        <w:rFonts w:ascii="Arial" w:hAnsi="Arial" w:hint="default"/>
      </w:rPr>
    </w:lvl>
    <w:lvl w:ilvl="5" w:tplc="13C850B2" w:tentative="1">
      <w:start w:val="1"/>
      <w:numFmt w:val="bullet"/>
      <w:lvlText w:val="•"/>
      <w:lvlJc w:val="left"/>
      <w:pPr>
        <w:tabs>
          <w:tab w:val="num" w:pos="4320"/>
        </w:tabs>
        <w:ind w:left="4320" w:hanging="360"/>
      </w:pPr>
      <w:rPr>
        <w:rFonts w:ascii="Arial" w:hAnsi="Arial" w:hint="default"/>
      </w:rPr>
    </w:lvl>
    <w:lvl w:ilvl="6" w:tplc="43489BC0" w:tentative="1">
      <w:start w:val="1"/>
      <w:numFmt w:val="bullet"/>
      <w:lvlText w:val="•"/>
      <w:lvlJc w:val="left"/>
      <w:pPr>
        <w:tabs>
          <w:tab w:val="num" w:pos="5040"/>
        </w:tabs>
        <w:ind w:left="5040" w:hanging="360"/>
      </w:pPr>
      <w:rPr>
        <w:rFonts w:ascii="Arial" w:hAnsi="Arial" w:hint="default"/>
      </w:rPr>
    </w:lvl>
    <w:lvl w:ilvl="7" w:tplc="C4C654E0" w:tentative="1">
      <w:start w:val="1"/>
      <w:numFmt w:val="bullet"/>
      <w:lvlText w:val="•"/>
      <w:lvlJc w:val="left"/>
      <w:pPr>
        <w:tabs>
          <w:tab w:val="num" w:pos="5760"/>
        </w:tabs>
        <w:ind w:left="5760" w:hanging="360"/>
      </w:pPr>
      <w:rPr>
        <w:rFonts w:ascii="Arial" w:hAnsi="Arial" w:hint="default"/>
      </w:rPr>
    </w:lvl>
    <w:lvl w:ilvl="8" w:tplc="8080325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5852E9A"/>
    <w:multiLevelType w:val="hybridMultilevel"/>
    <w:tmpl w:val="FDC4D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112746971">
    <w:abstractNumId w:val="2"/>
  </w:num>
  <w:num w:numId="2" w16cid:durableId="1173834553">
    <w:abstractNumId w:val="4"/>
  </w:num>
  <w:num w:numId="3" w16cid:durableId="798450685">
    <w:abstractNumId w:val="5"/>
  </w:num>
  <w:num w:numId="4" w16cid:durableId="1640497926">
    <w:abstractNumId w:val="7"/>
  </w:num>
  <w:num w:numId="5" w16cid:durableId="1415514221">
    <w:abstractNumId w:val="3"/>
  </w:num>
  <w:num w:numId="6" w16cid:durableId="1617060337">
    <w:abstractNumId w:val="0"/>
  </w:num>
  <w:num w:numId="7" w16cid:durableId="550918356">
    <w:abstractNumId w:val="1"/>
  </w:num>
  <w:num w:numId="8" w16cid:durableId="5608732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DDE"/>
    <w:rsid w:val="000A49D0"/>
    <w:rsid w:val="000C2414"/>
    <w:rsid w:val="00124BA9"/>
    <w:rsid w:val="00175DB0"/>
    <w:rsid w:val="001949C6"/>
    <w:rsid w:val="001F4CB4"/>
    <w:rsid w:val="00285DDE"/>
    <w:rsid w:val="00394961"/>
    <w:rsid w:val="003C1F1C"/>
    <w:rsid w:val="00423B72"/>
    <w:rsid w:val="00424494"/>
    <w:rsid w:val="0047142D"/>
    <w:rsid w:val="00476048"/>
    <w:rsid w:val="004B7507"/>
    <w:rsid w:val="004E3DF4"/>
    <w:rsid w:val="005A5548"/>
    <w:rsid w:val="005A778A"/>
    <w:rsid w:val="005E27B3"/>
    <w:rsid w:val="00772712"/>
    <w:rsid w:val="007E76D3"/>
    <w:rsid w:val="007F4645"/>
    <w:rsid w:val="0081537F"/>
    <w:rsid w:val="0090610F"/>
    <w:rsid w:val="00955EE4"/>
    <w:rsid w:val="009A0C23"/>
    <w:rsid w:val="009B224D"/>
    <w:rsid w:val="00A552FE"/>
    <w:rsid w:val="00B07ED9"/>
    <w:rsid w:val="00B9425D"/>
    <w:rsid w:val="00BA1E8C"/>
    <w:rsid w:val="00C231B7"/>
    <w:rsid w:val="00D70EF7"/>
    <w:rsid w:val="00D91368"/>
    <w:rsid w:val="00DD2343"/>
    <w:rsid w:val="00DF02D0"/>
    <w:rsid w:val="00DF6D52"/>
    <w:rsid w:val="00E16B5B"/>
    <w:rsid w:val="00E716C3"/>
    <w:rsid w:val="00F26B07"/>
    <w:rsid w:val="00F624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957FC"/>
  <w15:chartTrackingRefBased/>
  <w15:docId w15:val="{A1EFFEA2-E73A-4A19-8413-A61F70F73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C23"/>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285D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285D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85DD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85DD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85DD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85D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5D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5D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5D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5DD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285DD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85DD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85DD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85DD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85D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5D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5D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5DDE"/>
    <w:rPr>
      <w:rFonts w:eastAsiaTheme="majorEastAsia" w:cstheme="majorBidi"/>
      <w:color w:val="272727" w:themeColor="text1" w:themeTint="D8"/>
    </w:rPr>
  </w:style>
  <w:style w:type="paragraph" w:styleId="Title">
    <w:name w:val="Title"/>
    <w:basedOn w:val="Normal"/>
    <w:next w:val="Normal"/>
    <w:link w:val="TitleChar"/>
    <w:uiPriority w:val="10"/>
    <w:qFormat/>
    <w:rsid w:val="00285DD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5D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5D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5D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5DDE"/>
    <w:pPr>
      <w:spacing w:before="160"/>
      <w:jc w:val="center"/>
    </w:pPr>
    <w:rPr>
      <w:i/>
      <w:iCs/>
      <w:color w:val="404040" w:themeColor="text1" w:themeTint="BF"/>
    </w:rPr>
  </w:style>
  <w:style w:type="character" w:customStyle="1" w:styleId="QuoteChar">
    <w:name w:val="Quote Char"/>
    <w:basedOn w:val="DefaultParagraphFont"/>
    <w:link w:val="Quote"/>
    <w:uiPriority w:val="29"/>
    <w:rsid w:val="00285DDE"/>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285DDE"/>
    <w:pPr>
      <w:ind w:left="720"/>
      <w:contextualSpacing/>
    </w:pPr>
  </w:style>
  <w:style w:type="character" w:styleId="IntenseEmphasis">
    <w:name w:val="Intense Emphasis"/>
    <w:basedOn w:val="DefaultParagraphFont"/>
    <w:uiPriority w:val="21"/>
    <w:qFormat/>
    <w:rsid w:val="00285DDE"/>
    <w:rPr>
      <w:i/>
      <w:iCs/>
      <w:color w:val="2F5496" w:themeColor="accent1" w:themeShade="BF"/>
    </w:rPr>
  </w:style>
  <w:style w:type="paragraph" w:styleId="IntenseQuote">
    <w:name w:val="Intense Quote"/>
    <w:basedOn w:val="Normal"/>
    <w:next w:val="Normal"/>
    <w:link w:val="IntenseQuoteChar"/>
    <w:uiPriority w:val="30"/>
    <w:qFormat/>
    <w:rsid w:val="00285D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85DDE"/>
    <w:rPr>
      <w:i/>
      <w:iCs/>
      <w:color w:val="2F5496" w:themeColor="accent1" w:themeShade="BF"/>
    </w:rPr>
  </w:style>
  <w:style w:type="character" w:styleId="IntenseReference">
    <w:name w:val="Intense Reference"/>
    <w:basedOn w:val="DefaultParagraphFont"/>
    <w:uiPriority w:val="32"/>
    <w:qFormat/>
    <w:rsid w:val="00285DDE"/>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85DDE"/>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85DDE"/>
    <w:rPr>
      <w:rFonts w:ascii="Arial" w:eastAsiaTheme="minorEastAsia" w:hAnsi="Arial" w:cs="Times New Roman"/>
      <w:b/>
      <w:noProof/>
      <w:sz w:val="18"/>
      <w:szCs w:val="20"/>
      <w:lang w:eastAsia="ko-KR"/>
    </w:rPr>
  </w:style>
  <w:style w:type="paragraph" w:customStyle="1" w:styleId="B1">
    <w:name w:val="B1"/>
    <w:basedOn w:val="List"/>
    <w:link w:val="B1Char"/>
    <w:qFormat/>
    <w:rsid w:val="00285DDE"/>
    <w:pPr>
      <w:ind w:left="568" w:hanging="284"/>
      <w:contextualSpacing w:val="0"/>
    </w:p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285DDE"/>
  </w:style>
  <w:style w:type="character" w:customStyle="1" w:styleId="B1Char">
    <w:name w:val="B1 Char"/>
    <w:link w:val="B1"/>
    <w:qFormat/>
    <w:rsid w:val="00285DDE"/>
    <w:rPr>
      <w:rFonts w:ascii="Times New Roman" w:eastAsiaTheme="minorEastAsia" w:hAnsi="Times New Roman" w:cs="Times New Roman"/>
      <w:sz w:val="20"/>
      <w:szCs w:val="20"/>
      <w:lang w:val="en-GB" w:eastAsia="ko-KR"/>
    </w:rPr>
  </w:style>
  <w:style w:type="table" w:styleId="TableGrid">
    <w:name w:val="Table Grid"/>
    <w:aliases w:val="SGS Table Basic 1"/>
    <w:basedOn w:val="TableNormal"/>
    <w:qFormat/>
    <w:rsid w:val="00285DDE"/>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285DD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541326">
      <w:bodyDiv w:val="1"/>
      <w:marLeft w:val="0"/>
      <w:marRight w:val="0"/>
      <w:marTop w:val="0"/>
      <w:marBottom w:val="0"/>
      <w:divBdr>
        <w:top w:val="none" w:sz="0" w:space="0" w:color="auto"/>
        <w:left w:val="none" w:sz="0" w:space="0" w:color="auto"/>
        <w:bottom w:val="none" w:sz="0" w:space="0" w:color="auto"/>
        <w:right w:val="none" w:sz="0" w:space="0" w:color="auto"/>
      </w:divBdr>
    </w:div>
    <w:div w:id="177223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TotalTime>
  <Pages>3</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19</cp:revision>
  <dcterms:created xsi:type="dcterms:W3CDTF">2025-03-28T18:01:00Z</dcterms:created>
  <dcterms:modified xsi:type="dcterms:W3CDTF">2025-03-28T23:51:00Z</dcterms:modified>
</cp:coreProperties>
</file>